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FB9" w:rsidRDefault="00513FB9"/>
    <w:tbl>
      <w:tblPr>
        <w:tblW w:w="8964" w:type="dxa"/>
        <w:tblLook w:val="0000" w:firstRow="0" w:lastRow="0" w:firstColumn="0" w:lastColumn="0" w:noHBand="0" w:noVBand="0"/>
      </w:tblPr>
      <w:tblGrid>
        <w:gridCol w:w="3456"/>
        <w:gridCol w:w="5472"/>
        <w:gridCol w:w="36"/>
      </w:tblGrid>
      <w:tr w:rsidR="00513FB9" w:rsidRPr="007D7E0B" w:rsidTr="00513FB9">
        <w:trPr>
          <w:gridAfter w:val="1"/>
          <w:wAfter w:w="36" w:type="dxa"/>
        </w:trPr>
        <w:tc>
          <w:tcPr>
            <w:tcW w:w="8928" w:type="dxa"/>
            <w:gridSpan w:val="2"/>
            <w:tcBorders>
              <w:bottom w:val="single" w:sz="18" w:space="0" w:color="auto"/>
            </w:tcBorders>
          </w:tcPr>
          <w:p w:rsidR="00513FB9" w:rsidRDefault="00513FB9" w:rsidP="006D2C51">
            <w:pPr>
              <w:pStyle w:val="Infotext"/>
              <w:rPr>
                <w:rFonts w:ascii="Arial Black" w:hAnsi="Arial Black"/>
                <w:color w:val="999999"/>
                <w:sz w:val="36"/>
                <w:szCs w:val="36"/>
              </w:rPr>
            </w:pPr>
          </w:p>
          <w:p w:rsidR="00513FB9" w:rsidRDefault="00D95BC7" w:rsidP="006D2C51">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simplePos x="0" y="0"/>
                  <wp:positionH relativeFrom="margin">
                    <wp:posOffset>-59055</wp:posOffset>
                  </wp:positionH>
                  <wp:positionV relativeFrom="margin">
                    <wp:posOffset>89535</wp:posOffset>
                  </wp:positionV>
                  <wp:extent cx="2009775" cy="495935"/>
                  <wp:effectExtent l="0" t="0" r="9525" b="0"/>
                  <wp:wrapSquare wrapText="bothSides"/>
                  <wp:docPr id="2" name="Picture 2"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ow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rsidR="00513FB9" w:rsidRDefault="00513FB9" w:rsidP="006D2C51">
            <w:pPr>
              <w:pStyle w:val="Infotext"/>
              <w:rPr>
                <w:rFonts w:ascii="Arial Black" w:hAnsi="Arial Black" w:cs="Arial"/>
                <w:sz w:val="36"/>
                <w:szCs w:val="36"/>
              </w:rPr>
            </w:pPr>
          </w:p>
        </w:tc>
      </w:tr>
      <w:tr w:rsidR="002A2389" w:rsidTr="00513FB9">
        <w:tc>
          <w:tcPr>
            <w:tcW w:w="3456" w:type="dxa"/>
            <w:tcBorders>
              <w:bottom w:val="single" w:sz="18" w:space="0" w:color="auto"/>
            </w:tcBorders>
          </w:tcPr>
          <w:p w:rsidR="002A2389" w:rsidRPr="00D32B51" w:rsidRDefault="00D32B51">
            <w:pPr>
              <w:pStyle w:val="Infotext"/>
              <w:rPr>
                <w:rFonts w:ascii="Arial Black" w:hAnsi="Arial Black"/>
                <w:color w:val="999999"/>
                <w:sz w:val="36"/>
                <w:szCs w:val="36"/>
              </w:rPr>
            </w:pPr>
            <w:r w:rsidRPr="00D32B51">
              <w:rPr>
                <w:rFonts w:ascii="Arial Black" w:hAnsi="Arial Black"/>
                <w:color w:val="999999"/>
                <w:sz w:val="36"/>
                <w:szCs w:val="36"/>
              </w:rPr>
              <w:t>REPORT FOR</w:t>
            </w:r>
            <w:r w:rsidR="002A2389" w:rsidRPr="00D32B51">
              <w:rPr>
                <w:rFonts w:ascii="Arial Black" w:hAnsi="Arial Black"/>
                <w:color w:val="999999"/>
                <w:sz w:val="36"/>
                <w:szCs w:val="36"/>
              </w:rPr>
              <w:t>:</w:t>
            </w:r>
          </w:p>
          <w:p w:rsidR="002A2389" w:rsidRPr="00F92398" w:rsidRDefault="002A2389">
            <w:pPr>
              <w:pStyle w:val="Infotext"/>
              <w:rPr>
                <w:rFonts w:ascii="Arial Black" w:hAnsi="Arial Black" w:cs="Arial"/>
              </w:rPr>
            </w:pPr>
          </w:p>
        </w:tc>
        <w:tc>
          <w:tcPr>
            <w:tcW w:w="5508" w:type="dxa"/>
            <w:gridSpan w:val="2"/>
            <w:tcBorders>
              <w:bottom w:val="single" w:sz="18" w:space="0" w:color="auto"/>
            </w:tcBorders>
          </w:tcPr>
          <w:p w:rsidR="002C1794" w:rsidRPr="00BE1C78" w:rsidRDefault="00BE1C78" w:rsidP="00D32B51">
            <w:pPr>
              <w:pStyle w:val="Infotext"/>
              <w:rPr>
                <w:rFonts w:ascii="Arial Black" w:hAnsi="Arial Black" w:cs="Arial"/>
                <w:sz w:val="36"/>
                <w:szCs w:val="36"/>
              </w:rPr>
            </w:pPr>
            <w:r w:rsidRPr="00BE1C78">
              <w:rPr>
                <w:rFonts w:ascii="Arial Black" w:hAnsi="Arial Black" w:cs="Arial"/>
                <w:sz w:val="36"/>
                <w:szCs w:val="36"/>
              </w:rPr>
              <w:t>HEALTH AND WELLBEING BOARD</w:t>
            </w:r>
          </w:p>
        </w:tc>
      </w:tr>
      <w:tr w:rsidR="002A2389" w:rsidTr="00513FB9">
        <w:tc>
          <w:tcPr>
            <w:tcW w:w="3456" w:type="dxa"/>
            <w:tcBorders>
              <w:top w:val="single" w:sz="18" w:space="0" w:color="auto"/>
            </w:tcBorders>
          </w:tcPr>
          <w:p w:rsidR="002A2389" w:rsidRPr="00F92398" w:rsidRDefault="002A2389">
            <w:pPr>
              <w:pStyle w:val="Infotext"/>
              <w:rPr>
                <w:rFonts w:ascii="Arial Black" w:hAnsi="Arial Black"/>
              </w:rPr>
            </w:pPr>
            <w:r w:rsidRPr="00F92398">
              <w:rPr>
                <w:rFonts w:ascii="Arial Black" w:hAnsi="Arial Black"/>
              </w:rPr>
              <w:t>Date</w:t>
            </w:r>
            <w:r w:rsidR="00AA4BE8">
              <w:rPr>
                <w:rFonts w:ascii="Arial Black" w:hAnsi="Arial Black"/>
              </w:rPr>
              <w:t xml:space="preserve"> of Meeting</w:t>
            </w:r>
            <w:r w:rsidRPr="00F92398">
              <w:rPr>
                <w:rFonts w:ascii="Arial Black" w:hAnsi="Arial Black"/>
              </w:rPr>
              <w:t>:</w:t>
            </w:r>
          </w:p>
          <w:p w:rsidR="002A2389" w:rsidRPr="00F92398" w:rsidRDefault="002A2389">
            <w:pPr>
              <w:pStyle w:val="Infotext"/>
              <w:rPr>
                <w:rFonts w:ascii="Arial Black" w:hAnsi="Arial Black" w:cs="Arial"/>
              </w:rPr>
            </w:pPr>
          </w:p>
        </w:tc>
        <w:tc>
          <w:tcPr>
            <w:tcW w:w="5508" w:type="dxa"/>
            <w:gridSpan w:val="2"/>
            <w:tcBorders>
              <w:top w:val="single" w:sz="18" w:space="0" w:color="auto"/>
            </w:tcBorders>
          </w:tcPr>
          <w:p w:rsidR="002A2389" w:rsidRDefault="004A54D1">
            <w:pPr>
              <w:pStyle w:val="Infotext"/>
              <w:rPr>
                <w:rFonts w:cs="Arial"/>
              </w:rPr>
            </w:pPr>
            <w:r>
              <w:rPr>
                <w:rFonts w:cs="Arial"/>
              </w:rPr>
              <w:t>19 September 2019</w:t>
            </w:r>
          </w:p>
        </w:tc>
      </w:tr>
      <w:tr w:rsidR="002A2389" w:rsidTr="00513FB9">
        <w:tc>
          <w:tcPr>
            <w:tcW w:w="3456" w:type="dxa"/>
          </w:tcPr>
          <w:p w:rsidR="002A2389" w:rsidRPr="00F92398" w:rsidRDefault="002A2389">
            <w:pPr>
              <w:pStyle w:val="Infotext"/>
              <w:rPr>
                <w:rFonts w:ascii="Arial Black" w:hAnsi="Arial Black" w:cs="Arial"/>
              </w:rPr>
            </w:pPr>
            <w:r w:rsidRPr="00F92398">
              <w:rPr>
                <w:rFonts w:ascii="Arial Black" w:hAnsi="Arial Black" w:cs="Arial"/>
              </w:rPr>
              <w:t>Subject:</w:t>
            </w:r>
          </w:p>
          <w:p w:rsidR="002A2389" w:rsidRPr="00F92398" w:rsidRDefault="002A2389">
            <w:pPr>
              <w:pStyle w:val="Infotext"/>
              <w:rPr>
                <w:rFonts w:ascii="Arial Black" w:hAnsi="Arial Black"/>
              </w:rPr>
            </w:pPr>
          </w:p>
        </w:tc>
        <w:tc>
          <w:tcPr>
            <w:tcW w:w="5508" w:type="dxa"/>
            <w:gridSpan w:val="2"/>
          </w:tcPr>
          <w:p w:rsidR="002A2389" w:rsidRDefault="002A74F8">
            <w:pPr>
              <w:pStyle w:val="Infotext"/>
              <w:rPr>
                <w:rFonts w:cs="Arial"/>
              </w:rPr>
            </w:pPr>
            <w:r>
              <w:rPr>
                <w:rFonts w:cs="Arial"/>
              </w:rPr>
              <w:t>NWL CCGs Commissioning Reform</w:t>
            </w:r>
            <w:r w:rsidR="00F87B6D">
              <w:rPr>
                <w:rFonts w:cs="Arial"/>
              </w:rPr>
              <w:t xml:space="preserve"> update</w:t>
            </w:r>
          </w:p>
        </w:tc>
      </w:tr>
      <w:tr w:rsidR="002A2389" w:rsidTr="00513FB9">
        <w:tc>
          <w:tcPr>
            <w:tcW w:w="3456" w:type="dxa"/>
          </w:tcPr>
          <w:p w:rsidR="002A2389" w:rsidRPr="00F92398" w:rsidRDefault="002A2389">
            <w:pPr>
              <w:pStyle w:val="Infotext"/>
              <w:rPr>
                <w:rFonts w:ascii="Arial Black" w:hAnsi="Arial Black" w:cs="Arial"/>
              </w:rPr>
            </w:pPr>
            <w:r w:rsidRPr="00F92398">
              <w:rPr>
                <w:rFonts w:ascii="Arial Black" w:hAnsi="Arial Black" w:cs="Arial"/>
              </w:rPr>
              <w:t>Responsible Officer:</w:t>
            </w:r>
          </w:p>
          <w:p w:rsidR="002A2389" w:rsidRPr="00F92398" w:rsidRDefault="002A2389">
            <w:pPr>
              <w:pStyle w:val="Infotext"/>
              <w:rPr>
                <w:rFonts w:ascii="Arial Black" w:hAnsi="Arial Black" w:cs="Arial"/>
              </w:rPr>
            </w:pPr>
          </w:p>
        </w:tc>
        <w:tc>
          <w:tcPr>
            <w:tcW w:w="5508" w:type="dxa"/>
            <w:gridSpan w:val="2"/>
          </w:tcPr>
          <w:p w:rsidR="002A2389" w:rsidRDefault="00D51906">
            <w:pPr>
              <w:pStyle w:val="Infotext"/>
              <w:rPr>
                <w:rFonts w:cs="Arial"/>
              </w:rPr>
            </w:pPr>
            <w:r>
              <w:t xml:space="preserve">Javina Sehgal, Managing Director, Harrow CCG on behalf of </w:t>
            </w:r>
            <w:r w:rsidR="002A74F8">
              <w:rPr>
                <w:rFonts w:cs="Arial"/>
              </w:rPr>
              <w:t>Mark Easton, Accountable Office, NWL CCGs</w:t>
            </w:r>
          </w:p>
          <w:p w:rsidR="007D56C8" w:rsidRDefault="007D56C8">
            <w:pPr>
              <w:pStyle w:val="Infotext"/>
              <w:rPr>
                <w:rFonts w:cs="Arial"/>
              </w:rPr>
            </w:pPr>
          </w:p>
        </w:tc>
      </w:tr>
      <w:tr w:rsidR="002A2389" w:rsidTr="00513FB9">
        <w:tc>
          <w:tcPr>
            <w:tcW w:w="3456" w:type="dxa"/>
          </w:tcPr>
          <w:p w:rsidR="002A2389" w:rsidRPr="00F92398" w:rsidRDefault="00BE1C78">
            <w:pPr>
              <w:pStyle w:val="Infotext"/>
              <w:rPr>
                <w:rFonts w:ascii="Arial Black" w:hAnsi="Arial Black" w:cs="Arial"/>
              </w:rPr>
            </w:pPr>
            <w:r>
              <w:rPr>
                <w:rFonts w:ascii="Arial Black" w:hAnsi="Arial Black" w:cs="Arial"/>
              </w:rPr>
              <w:t>Public</w:t>
            </w:r>
            <w:r w:rsidR="002A2389" w:rsidRPr="00F92398">
              <w:rPr>
                <w:rFonts w:ascii="Arial Black" w:hAnsi="Arial Black" w:cs="Arial"/>
              </w:rPr>
              <w:t>:</w:t>
            </w:r>
          </w:p>
          <w:p w:rsidR="002A2389" w:rsidRPr="00F92398" w:rsidRDefault="002A2389">
            <w:pPr>
              <w:pStyle w:val="Infotext"/>
              <w:rPr>
                <w:rFonts w:ascii="Arial Black" w:hAnsi="Arial Black" w:cs="Arial"/>
              </w:rPr>
            </w:pPr>
          </w:p>
        </w:tc>
        <w:tc>
          <w:tcPr>
            <w:tcW w:w="5508" w:type="dxa"/>
            <w:gridSpan w:val="2"/>
          </w:tcPr>
          <w:p w:rsidR="002A2389" w:rsidRDefault="00F54F7B">
            <w:pPr>
              <w:pStyle w:val="Infotext"/>
              <w:rPr>
                <w:rFonts w:cs="Arial"/>
              </w:rPr>
            </w:pPr>
            <w:r>
              <w:rPr>
                <w:rFonts w:cs="Arial"/>
              </w:rPr>
              <w:t>Yes.</w:t>
            </w:r>
          </w:p>
          <w:p w:rsidR="002A2389" w:rsidRDefault="002A2389">
            <w:pPr>
              <w:pStyle w:val="Infotext"/>
              <w:rPr>
                <w:rFonts w:cs="Arial"/>
              </w:rPr>
            </w:pPr>
          </w:p>
        </w:tc>
      </w:tr>
      <w:tr w:rsidR="00A51FAE" w:rsidTr="00513FB9">
        <w:tc>
          <w:tcPr>
            <w:tcW w:w="3456" w:type="dxa"/>
          </w:tcPr>
          <w:p w:rsidR="00A51FAE" w:rsidRDefault="00A51FAE">
            <w:pPr>
              <w:pStyle w:val="Infotext"/>
              <w:rPr>
                <w:rFonts w:ascii="Arial Black" w:hAnsi="Arial Black" w:cs="Arial"/>
              </w:rPr>
            </w:pPr>
            <w:r>
              <w:rPr>
                <w:rFonts w:ascii="Arial Black" w:hAnsi="Arial Black" w:cs="Arial"/>
              </w:rPr>
              <w:t>Wards affected:</w:t>
            </w:r>
          </w:p>
          <w:p w:rsidR="00A51FAE" w:rsidRPr="00F92398" w:rsidRDefault="00A51FAE">
            <w:pPr>
              <w:pStyle w:val="Infotext"/>
              <w:rPr>
                <w:rFonts w:ascii="Arial Black" w:hAnsi="Arial Black" w:cs="Arial"/>
              </w:rPr>
            </w:pPr>
          </w:p>
        </w:tc>
        <w:tc>
          <w:tcPr>
            <w:tcW w:w="5508" w:type="dxa"/>
            <w:gridSpan w:val="2"/>
          </w:tcPr>
          <w:p w:rsidR="00A50388" w:rsidRPr="00A50388" w:rsidRDefault="002A74F8">
            <w:pPr>
              <w:pStyle w:val="Infotext"/>
              <w:rPr>
                <w:b/>
                <w:color w:val="FF0000"/>
              </w:rPr>
            </w:pPr>
            <w:r>
              <w:t>All.</w:t>
            </w:r>
          </w:p>
        </w:tc>
      </w:tr>
      <w:tr w:rsidR="002A2389" w:rsidTr="00513FB9">
        <w:tc>
          <w:tcPr>
            <w:tcW w:w="3456" w:type="dxa"/>
          </w:tcPr>
          <w:p w:rsidR="002A2389" w:rsidRPr="00F92398" w:rsidRDefault="002A2389">
            <w:pPr>
              <w:pStyle w:val="Infotext"/>
              <w:rPr>
                <w:rFonts w:ascii="Arial Black" w:hAnsi="Arial Black" w:cs="Arial"/>
              </w:rPr>
            </w:pPr>
          </w:p>
          <w:p w:rsidR="002A2389" w:rsidRPr="00F92398" w:rsidRDefault="002A2389">
            <w:pPr>
              <w:pStyle w:val="Infotext"/>
              <w:rPr>
                <w:rFonts w:ascii="Arial Black" w:hAnsi="Arial Black" w:cs="Arial"/>
              </w:rPr>
            </w:pPr>
            <w:r w:rsidRPr="00F92398">
              <w:rPr>
                <w:rFonts w:ascii="Arial Black" w:hAnsi="Arial Black" w:cs="Arial"/>
              </w:rPr>
              <w:t>Enclosures:</w:t>
            </w:r>
          </w:p>
          <w:p w:rsidR="002A2389" w:rsidRPr="00F92398" w:rsidRDefault="002A2389">
            <w:pPr>
              <w:pStyle w:val="Infotext"/>
              <w:rPr>
                <w:rFonts w:ascii="Arial Black" w:hAnsi="Arial Black" w:cs="Arial"/>
              </w:rPr>
            </w:pPr>
          </w:p>
        </w:tc>
        <w:tc>
          <w:tcPr>
            <w:tcW w:w="5508" w:type="dxa"/>
            <w:gridSpan w:val="2"/>
          </w:tcPr>
          <w:p w:rsidR="002A2389" w:rsidRDefault="002A2389">
            <w:pPr>
              <w:pStyle w:val="Infotext"/>
            </w:pPr>
          </w:p>
          <w:p w:rsidR="002A2389" w:rsidRDefault="002A74F8">
            <w:pPr>
              <w:pStyle w:val="Infotext"/>
            </w:pPr>
            <w:r>
              <w:t>NWL Commissioning Reform update</w:t>
            </w:r>
          </w:p>
        </w:tc>
      </w:tr>
    </w:tbl>
    <w:p w:rsidR="002A2389" w:rsidRDefault="002A2389">
      <w:pPr>
        <w:rPr>
          <w:rFonts w:cs="Arial"/>
        </w:rPr>
      </w:pPr>
    </w:p>
    <w:p w:rsidR="002A2389" w:rsidRDefault="002A2389">
      <w:pPr>
        <w:rPr>
          <w:rFonts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7"/>
      </w:tblGrid>
      <w:tr w:rsidR="00675FCB">
        <w:tc>
          <w:tcPr>
            <w:tcW w:w="8897" w:type="dxa"/>
            <w:tcBorders>
              <w:top w:val="nil"/>
              <w:left w:val="nil"/>
              <w:right w:val="nil"/>
            </w:tcBorders>
          </w:tcPr>
          <w:p w:rsidR="00675FCB" w:rsidRDefault="00675FCB" w:rsidP="00675FCB">
            <w:pPr>
              <w:pStyle w:val="Heading1"/>
            </w:pPr>
            <w:r>
              <w:t>Section 1 – Summary and Recommendations</w:t>
            </w:r>
          </w:p>
          <w:p w:rsidR="00675FCB" w:rsidRDefault="00675FCB"/>
        </w:tc>
      </w:tr>
      <w:tr w:rsidR="002A2389">
        <w:tc>
          <w:tcPr>
            <w:tcW w:w="8897" w:type="dxa"/>
          </w:tcPr>
          <w:p w:rsidR="002A2389" w:rsidRDefault="002A2389">
            <w:pPr>
              <w:pStyle w:val="Heading2"/>
            </w:pPr>
            <w:r>
              <w:t xml:space="preserve">Recommendations: </w:t>
            </w:r>
          </w:p>
          <w:p w:rsidR="002A2389" w:rsidRDefault="002A2389">
            <w:r>
              <w:t xml:space="preserve">The </w:t>
            </w:r>
            <w:r w:rsidR="00BE1C78">
              <w:t>Board</w:t>
            </w:r>
            <w:r w:rsidR="00D47F38">
              <w:t xml:space="preserve"> is requested to note the update on th</w:t>
            </w:r>
            <w:r w:rsidR="00A86515">
              <w:t xml:space="preserve">e NWL CCGs Commissioning Reform and the recommendation to governing bodies </w:t>
            </w:r>
            <w:r w:rsidR="00A86515" w:rsidRPr="00AC056B">
              <w:t>for the merger to a single CCG for NW London</w:t>
            </w:r>
            <w:r w:rsidR="00A86515">
              <w:t xml:space="preserve"> to take</w:t>
            </w:r>
            <w:r w:rsidR="00A86515" w:rsidRPr="00AC056B">
              <w:t xml:space="preserve"> place on 1 April 2021.</w:t>
            </w:r>
          </w:p>
          <w:p w:rsidR="002A2389" w:rsidRDefault="002A2389"/>
          <w:p w:rsidR="002A2389" w:rsidRDefault="002A2389"/>
          <w:p w:rsidR="002A2389" w:rsidRDefault="002A2389"/>
          <w:p w:rsidR="002A2389" w:rsidRDefault="002A2389"/>
          <w:p w:rsidR="002A2389" w:rsidRDefault="002A2389">
            <w:pPr>
              <w:jc w:val="both"/>
              <w:rPr>
                <w:rFonts w:cs="Arial"/>
              </w:rPr>
            </w:pPr>
          </w:p>
        </w:tc>
      </w:tr>
    </w:tbl>
    <w:p w:rsidR="00FF71E5" w:rsidRDefault="00FF71E5">
      <w:pPr>
        <w:pStyle w:val="Heading1"/>
        <w:jc w:val="both"/>
        <w:sectPr w:rsidR="00FF71E5" w:rsidSect="00513FB9">
          <w:pgSz w:w="11909" w:h="16834" w:code="9"/>
          <w:pgMar w:top="864" w:right="1800" w:bottom="1440" w:left="1800" w:header="1008" w:footer="432" w:gutter="0"/>
          <w:cols w:space="720"/>
          <w:titlePg/>
          <w:docGrid w:linePitch="360"/>
        </w:sectPr>
      </w:pPr>
    </w:p>
    <w:p w:rsidR="002A2389" w:rsidRDefault="002A2389">
      <w:pPr>
        <w:pStyle w:val="Heading1"/>
        <w:jc w:val="both"/>
      </w:pPr>
      <w:r>
        <w:lastRenderedPageBreak/>
        <w:br w:type="page"/>
      </w:r>
      <w:r>
        <w:lastRenderedPageBreak/>
        <w:t>Section 2 – Report</w:t>
      </w:r>
    </w:p>
    <w:p w:rsidR="00BE1C78" w:rsidRDefault="00BE1C78">
      <w:pPr>
        <w:pStyle w:val="Heading2"/>
        <w:rPr>
          <w:color w:val="0000FF"/>
        </w:rPr>
      </w:pPr>
    </w:p>
    <w:p w:rsidR="00D47F38" w:rsidRDefault="00D47F38" w:rsidP="004A54D1">
      <w:pPr>
        <w:jc w:val="both"/>
      </w:pPr>
      <w:r w:rsidRPr="00D47F38">
        <w:t>In response to the NHS long term plan, which suggested that the number of CCGs will be significantly reduced to align with the number of emerging integrated care system (ICSs), NW London CCGs launched a case for change for commi</w:t>
      </w:r>
      <w:r>
        <w:t>ssioning reform on 29 May 2019.</w:t>
      </w:r>
    </w:p>
    <w:p w:rsidR="00D47F38" w:rsidRPr="00D47F38" w:rsidRDefault="00D47F38" w:rsidP="004A54D1">
      <w:pPr>
        <w:jc w:val="both"/>
      </w:pPr>
    </w:p>
    <w:p w:rsidR="002A2389" w:rsidRDefault="00D47F38" w:rsidP="004A54D1">
      <w:pPr>
        <w:jc w:val="both"/>
      </w:pPr>
      <w:r w:rsidRPr="00D47F38">
        <w:t>The case for change recognised that there were questions on how the CCGs respond to the configuration issues raised by the long term plan which required exploration and resolution.</w:t>
      </w:r>
    </w:p>
    <w:p w:rsidR="00D47F38" w:rsidRDefault="00D47F38" w:rsidP="004A54D1">
      <w:pPr>
        <w:jc w:val="both"/>
      </w:pPr>
    </w:p>
    <w:p w:rsidR="00D47F38" w:rsidRDefault="00D47F38" w:rsidP="004A54D1">
      <w:pPr>
        <w:jc w:val="both"/>
      </w:pPr>
      <w:r w:rsidRPr="00D47F38">
        <w:t>The key areas for exploration identified for engagement were:</w:t>
      </w:r>
    </w:p>
    <w:p w:rsidR="00D47F38" w:rsidRPr="00D47F38" w:rsidRDefault="00D47F38" w:rsidP="004A54D1">
      <w:pPr>
        <w:jc w:val="both"/>
      </w:pPr>
    </w:p>
    <w:p w:rsidR="00D47F38" w:rsidRPr="00D47F38" w:rsidRDefault="00D47F38" w:rsidP="004A54D1">
      <w:pPr>
        <w:pStyle w:val="ListParagraph"/>
        <w:numPr>
          <w:ilvl w:val="0"/>
          <w:numId w:val="15"/>
        </w:numPr>
        <w:jc w:val="both"/>
      </w:pPr>
      <w:r w:rsidRPr="00D47F38">
        <w:t>Whether this change to the number of CCGs happens by April 2020 or later, in April 2021;</w:t>
      </w:r>
    </w:p>
    <w:p w:rsidR="00D47F38" w:rsidRPr="00D47F38" w:rsidRDefault="00D47F38" w:rsidP="004A54D1">
      <w:pPr>
        <w:pStyle w:val="ListParagraph"/>
        <w:numPr>
          <w:ilvl w:val="0"/>
          <w:numId w:val="15"/>
        </w:numPr>
        <w:jc w:val="both"/>
      </w:pPr>
      <w:r w:rsidRPr="00D47F38">
        <w:t>What functions should be delivered at a NW London level and what should be organised more locally;</w:t>
      </w:r>
    </w:p>
    <w:p w:rsidR="00D47F38" w:rsidRPr="00D47F38" w:rsidRDefault="001F3FA8" w:rsidP="004A54D1">
      <w:pPr>
        <w:pStyle w:val="ListParagraph"/>
        <w:numPr>
          <w:ilvl w:val="0"/>
          <w:numId w:val="15"/>
        </w:numPr>
        <w:jc w:val="both"/>
      </w:pPr>
      <w:r>
        <w:t xml:space="preserve">How </w:t>
      </w:r>
      <w:r w:rsidR="00D47F38" w:rsidRPr="00D47F38">
        <w:t xml:space="preserve">the finances </w:t>
      </w:r>
      <w:r>
        <w:t xml:space="preserve">would </w:t>
      </w:r>
      <w:r w:rsidR="00D47F38" w:rsidRPr="00D47F38">
        <w:t>work;</w:t>
      </w:r>
    </w:p>
    <w:p w:rsidR="00D47F38" w:rsidRPr="00D47F38" w:rsidRDefault="00D47F38" w:rsidP="004A54D1">
      <w:pPr>
        <w:pStyle w:val="ListParagraph"/>
        <w:numPr>
          <w:ilvl w:val="0"/>
          <w:numId w:val="15"/>
        </w:numPr>
        <w:jc w:val="both"/>
      </w:pPr>
      <w:r w:rsidRPr="00D47F38">
        <w:t xml:space="preserve">How the changes to our CCGs relate to: changes at NW London with the development of an NW London integrated care system, the development of integrated care partnerships (ICP), based on boroughs, current CCG footprints, or groupings of boroughs, and the development of sub-borough structures such as primary care networks (PCNs). </w:t>
      </w:r>
    </w:p>
    <w:p w:rsidR="00D47F38" w:rsidRDefault="00D47F38" w:rsidP="004A54D1">
      <w:pPr>
        <w:jc w:val="both"/>
      </w:pPr>
    </w:p>
    <w:p w:rsidR="00D47F38" w:rsidRDefault="00D47F38" w:rsidP="004A54D1">
      <w:pPr>
        <w:jc w:val="both"/>
      </w:pPr>
      <w:r>
        <w:t>The enclosed paper sets out the engagement process and findings.</w:t>
      </w:r>
    </w:p>
    <w:p w:rsidR="00D47F38" w:rsidRDefault="00D47F38" w:rsidP="004A54D1">
      <w:pPr>
        <w:jc w:val="both"/>
      </w:pPr>
    </w:p>
    <w:p w:rsidR="00D47F38" w:rsidRDefault="00D47F38" w:rsidP="004A54D1">
      <w:pPr>
        <w:jc w:val="both"/>
      </w:pPr>
      <w:r>
        <w:t>The outcome of the engagement is to present to the eight CCG governing bodies recommendations for taking NWL Commissioning Reform forward.</w:t>
      </w:r>
    </w:p>
    <w:p w:rsidR="00D47F38" w:rsidRDefault="00D47F38" w:rsidP="004A54D1">
      <w:pPr>
        <w:jc w:val="both"/>
      </w:pPr>
    </w:p>
    <w:p w:rsidR="001F3FA8" w:rsidRPr="00716459" w:rsidRDefault="001F3FA8" w:rsidP="004A54D1">
      <w:pPr>
        <w:spacing w:after="120"/>
        <w:jc w:val="both"/>
      </w:pPr>
      <w:r w:rsidRPr="00716459">
        <w:t xml:space="preserve">In view of the feedback from our stakeholders to move to a single CCG in 2021, the need to focus on financial recovery, and the commitment of all Chairs to remain aligned as </w:t>
      </w:r>
      <w:proofErr w:type="gramStart"/>
      <w:r w:rsidRPr="00716459">
        <w:t>an eight</w:t>
      </w:r>
      <w:proofErr w:type="gramEnd"/>
      <w:r w:rsidRPr="00716459">
        <w:t xml:space="preserve"> borough collaboration, we recommend to CCG governing bodies that the merger to a single CCG for NW London takes place on 1 April 2021. </w:t>
      </w:r>
    </w:p>
    <w:p w:rsidR="00D47F38" w:rsidRDefault="00D47F38" w:rsidP="004A54D1">
      <w:pPr>
        <w:jc w:val="both"/>
      </w:pPr>
    </w:p>
    <w:p w:rsidR="00AC056B" w:rsidRDefault="00AC056B" w:rsidP="004A54D1">
      <w:pPr>
        <w:jc w:val="both"/>
      </w:pPr>
      <w:r>
        <w:t>This would allow for a transition year w</w:t>
      </w:r>
      <w:r w:rsidRPr="00AC056B">
        <w:t>hich will</w:t>
      </w:r>
      <w:r>
        <w:t xml:space="preserve"> focus on:</w:t>
      </w:r>
    </w:p>
    <w:p w:rsidR="00AC056B" w:rsidRPr="00AC056B" w:rsidRDefault="00AC056B" w:rsidP="004A54D1">
      <w:pPr>
        <w:jc w:val="both"/>
      </w:pPr>
    </w:p>
    <w:p w:rsidR="001F3FA8" w:rsidRPr="00716459" w:rsidRDefault="001F3FA8" w:rsidP="004A54D1">
      <w:pPr>
        <w:pStyle w:val="ListParagraph"/>
        <w:numPr>
          <w:ilvl w:val="0"/>
          <w:numId w:val="21"/>
        </w:numPr>
        <w:jc w:val="both"/>
      </w:pPr>
      <w:r w:rsidRPr="00716459">
        <w:t>System financial recovery</w:t>
      </w:r>
      <w:r>
        <w:t>;</w:t>
      </w:r>
    </w:p>
    <w:p w:rsidR="001F3FA8" w:rsidRPr="00716459" w:rsidRDefault="001F3FA8" w:rsidP="004A54D1">
      <w:pPr>
        <w:pStyle w:val="ListParagraph"/>
        <w:numPr>
          <w:ilvl w:val="0"/>
          <w:numId w:val="21"/>
        </w:numPr>
        <w:jc w:val="both"/>
      </w:pPr>
      <w:r w:rsidRPr="00716459">
        <w:t>Development of integrated care at PCN, borough and ICS level</w:t>
      </w:r>
      <w:r>
        <w:t>;</w:t>
      </w:r>
    </w:p>
    <w:p w:rsidR="001F3FA8" w:rsidRPr="00716459" w:rsidRDefault="001F3FA8" w:rsidP="004A54D1">
      <w:pPr>
        <w:pStyle w:val="ListParagraph"/>
        <w:numPr>
          <w:ilvl w:val="0"/>
          <w:numId w:val="21"/>
        </w:numPr>
        <w:jc w:val="both"/>
      </w:pPr>
      <w:r w:rsidRPr="00716459">
        <w:t>The development of a single operating structure across the commissioning system, and meet the expectations of NHSE that we would operate in 2020/21 under a single operating framework, with the associated reduction in management costs and streamlined governance</w:t>
      </w:r>
      <w:r>
        <w:t>;</w:t>
      </w:r>
    </w:p>
    <w:p w:rsidR="001F3FA8" w:rsidRPr="00716459" w:rsidRDefault="001F3FA8" w:rsidP="004A54D1">
      <w:pPr>
        <w:pStyle w:val="ListParagraph"/>
        <w:numPr>
          <w:ilvl w:val="0"/>
          <w:numId w:val="21"/>
        </w:numPr>
        <w:jc w:val="both"/>
      </w:pPr>
      <w:r w:rsidRPr="00716459">
        <w:t>To work with providers to develop alternative reimbursement structures from 2020/21 to support delivery of ICP/ICS.</w:t>
      </w:r>
    </w:p>
    <w:p w:rsidR="00AC056B" w:rsidRDefault="00AC056B" w:rsidP="004A54D1">
      <w:pPr>
        <w:jc w:val="both"/>
      </w:pPr>
    </w:p>
    <w:p w:rsidR="00AC056B" w:rsidRDefault="00AC056B" w:rsidP="004A54D1">
      <w:pPr>
        <w:jc w:val="both"/>
      </w:pPr>
    </w:p>
    <w:p w:rsidR="001F3FA8" w:rsidRDefault="001F3FA8" w:rsidP="004A54D1">
      <w:pPr>
        <w:jc w:val="both"/>
      </w:pPr>
    </w:p>
    <w:p w:rsidR="001F3FA8" w:rsidRDefault="001F3FA8" w:rsidP="004A54D1">
      <w:pPr>
        <w:jc w:val="both"/>
      </w:pPr>
    </w:p>
    <w:p w:rsidR="001F3FA8" w:rsidRDefault="001F3FA8" w:rsidP="004A54D1">
      <w:pPr>
        <w:jc w:val="both"/>
      </w:pPr>
    </w:p>
    <w:p w:rsidR="00A50388" w:rsidRPr="00A50388" w:rsidRDefault="00A50388" w:rsidP="004A54D1">
      <w:pPr>
        <w:jc w:val="both"/>
        <w:rPr>
          <w:rFonts w:ascii="Arial Bold" w:hAnsi="Arial Bold"/>
          <w:b/>
          <w:sz w:val="28"/>
        </w:rPr>
      </w:pPr>
      <w:r w:rsidRPr="00A50388">
        <w:rPr>
          <w:rFonts w:ascii="Arial Bold" w:hAnsi="Arial Bold"/>
          <w:b/>
          <w:sz w:val="28"/>
        </w:rPr>
        <w:lastRenderedPageBreak/>
        <w:t xml:space="preserve">Ward Councillors’ comments </w:t>
      </w:r>
    </w:p>
    <w:p w:rsidR="00A50388" w:rsidRPr="004A54D1" w:rsidRDefault="00A50388" w:rsidP="004A54D1">
      <w:pPr>
        <w:jc w:val="both"/>
      </w:pPr>
    </w:p>
    <w:p w:rsidR="00A50388" w:rsidRDefault="004A54D1" w:rsidP="004A54D1">
      <w:pPr>
        <w:jc w:val="both"/>
      </w:pPr>
      <w:r w:rsidRPr="004A54D1">
        <w:t>CCG report</w:t>
      </w:r>
      <w:r>
        <w:t xml:space="preserve"> so not applicable</w:t>
      </w:r>
    </w:p>
    <w:p w:rsidR="004A54D1" w:rsidRPr="004A54D1" w:rsidRDefault="004A54D1" w:rsidP="004A54D1">
      <w:pPr>
        <w:jc w:val="both"/>
      </w:pPr>
    </w:p>
    <w:p w:rsidR="002A2389" w:rsidRDefault="002A2389" w:rsidP="004A54D1">
      <w:pPr>
        <w:pStyle w:val="Heading2"/>
        <w:jc w:val="both"/>
      </w:pPr>
      <w:r>
        <w:t>Financial Implications</w:t>
      </w:r>
      <w:r w:rsidR="00BE1C78">
        <w:t xml:space="preserve">/Comments </w:t>
      </w:r>
    </w:p>
    <w:p w:rsidR="00BE1C78" w:rsidRDefault="00BE1C78" w:rsidP="004A54D1">
      <w:pPr>
        <w:jc w:val="both"/>
      </w:pPr>
    </w:p>
    <w:p w:rsidR="001417FD" w:rsidRDefault="001F3FA8" w:rsidP="004A54D1">
      <w:pPr>
        <w:jc w:val="both"/>
      </w:pPr>
      <w:r w:rsidRPr="00716459">
        <w:t>As well as improving outcomes and reducing variation, we also recognise that our financial challenges are significant and that only by working as a single CCG can we begin to address them.</w:t>
      </w:r>
    </w:p>
    <w:p w:rsidR="001F3FA8" w:rsidRDefault="001F3FA8" w:rsidP="004A54D1">
      <w:pPr>
        <w:jc w:val="both"/>
      </w:pPr>
    </w:p>
    <w:p w:rsidR="001417FD" w:rsidRDefault="001417FD" w:rsidP="004A54D1">
      <w:pPr>
        <w:jc w:val="both"/>
        <w:rPr>
          <w:b/>
          <w:sz w:val="28"/>
          <w:szCs w:val="28"/>
        </w:rPr>
      </w:pPr>
      <w:r w:rsidRPr="001417FD">
        <w:rPr>
          <w:b/>
          <w:sz w:val="28"/>
          <w:szCs w:val="28"/>
        </w:rPr>
        <w:t xml:space="preserve">Legal Implications/Comments </w:t>
      </w:r>
    </w:p>
    <w:p w:rsidR="004D5D86" w:rsidRPr="001417FD" w:rsidRDefault="004D5D86" w:rsidP="004A54D1">
      <w:pPr>
        <w:jc w:val="both"/>
        <w:rPr>
          <w:b/>
          <w:sz w:val="28"/>
          <w:szCs w:val="28"/>
        </w:rPr>
      </w:pPr>
    </w:p>
    <w:p w:rsidR="001417FD" w:rsidRDefault="00A86515">
      <w:r>
        <w:t>None identified.</w:t>
      </w:r>
    </w:p>
    <w:p w:rsidR="001417FD" w:rsidRDefault="001417FD"/>
    <w:p w:rsidR="00C32DAE" w:rsidRDefault="00C32DAE" w:rsidP="00E02B50">
      <w:pPr>
        <w:pStyle w:val="Heading2"/>
      </w:pPr>
      <w:r>
        <w:t>Risk Management Implications</w:t>
      </w:r>
    </w:p>
    <w:p w:rsidR="00080819" w:rsidRDefault="00080819" w:rsidP="00DD4251">
      <w:pPr>
        <w:ind w:right="141"/>
        <w:rPr>
          <w:rFonts w:cs="Arial"/>
          <w:szCs w:val="24"/>
          <w:lang w:val="en-US" w:eastAsia="en-GB"/>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4260"/>
        <w:gridCol w:w="4265"/>
      </w:tblGrid>
      <w:tr w:rsidR="001F3FA8" w:rsidRPr="001F3FA8" w:rsidTr="00326457">
        <w:trPr>
          <w:trHeight w:val="57"/>
        </w:trPr>
        <w:tc>
          <w:tcPr>
            <w:tcW w:w="4621" w:type="dxa"/>
            <w:shd w:val="clear" w:color="auto" w:fill="auto"/>
          </w:tcPr>
          <w:p w:rsidR="001F3FA8" w:rsidRPr="001F3FA8" w:rsidRDefault="001F3FA8" w:rsidP="00326457">
            <w:pPr>
              <w:pStyle w:val="Tableprompt"/>
              <w:rPr>
                <w:sz w:val="24"/>
                <w:szCs w:val="24"/>
              </w:rPr>
            </w:pPr>
            <w:r w:rsidRPr="001F3FA8">
              <w:rPr>
                <w:sz w:val="24"/>
                <w:szCs w:val="24"/>
              </w:rPr>
              <w:t>Risk</w:t>
            </w:r>
          </w:p>
        </w:tc>
        <w:tc>
          <w:tcPr>
            <w:tcW w:w="4621" w:type="dxa"/>
            <w:shd w:val="clear" w:color="auto" w:fill="auto"/>
          </w:tcPr>
          <w:p w:rsidR="001F3FA8" w:rsidRPr="001F3FA8" w:rsidRDefault="001F3FA8" w:rsidP="00326457">
            <w:pPr>
              <w:pStyle w:val="Tableprompt"/>
              <w:rPr>
                <w:sz w:val="24"/>
                <w:szCs w:val="24"/>
              </w:rPr>
            </w:pPr>
            <w:r w:rsidRPr="001F3FA8">
              <w:rPr>
                <w:sz w:val="24"/>
                <w:szCs w:val="24"/>
              </w:rPr>
              <w:t>Mitigating actions</w:t>
            </w:r>
          </w:p>
        </w:tc>
      </w:tr>
      <w:tr w:rsidR="001F3FA8" w:rsidRPr="001F3FA8" w:rsidTr="00326457">
        <w:trPr>
          <w:trHeight w:val="20"/>
        </w:trPr>
        <w:tc>
          <w:tcPr>
            <w:tcW w:w="4621" w:type="dxa"/>
            <w:shd w:val="clear" w:color="auto" w:fill="auto"/>
          </w:tcPr>
          <w:p w:rsidR="001F3FA8" w:rsidRPr="001F3FA8" w:rsidRDefault="001F3FA8" w:rsidP="00326457">
            <w:pPr>
              <w:rPr>
                <w:szCs w:val="24"/>
                <w:highlight w:val="yellow"/>
              </w:rPr>
            </w:pPr>
            <w:r w:rsidRPr="001F3FA8">
              <w:rPr>
                <w:szCs w:val="24"/>
              </w:rPr>
              <w:t xml:space="preserve">If we do not engage sufficiently with stakeholders there is a risk that we may not realise the benefits for commissioning reform in North West London. </w:t>
            </w:r>
          </w:p>
        </w:tc>
        <w:tc>
          <w:tcPr>
            <w:tcW w:w="4621" w:type="dxa"/>
            <w:shd w:val="clear" w:color="auto" w:fill="auto"/>
          </w:tcPr>
          <w:p w:rsidR="001F3FA8" w:rsidRPr="001F3FA8" w:rsidRDefault="001F3FA8" w:rsidP="00326457">
            <w:pPr>
              <w:pStyle w:val="Default"/>
              <w:rPr>
                <w:color w:val="auto"/>
              </w:rPr>
            </w:pPr>
            <w:r w:rsidRPr="001F3FA8">
              <w:rPr>
                <w:color w:val="auto"/>
              </w:rPr>
              <w:t xml:space="preserve">We are developing an engagement plan. Once it is agreed and implementation has commenced we envisage that it will be unlikely that there will be a moderate slippage to the timetable, reducing the risk. </w:t>
            </w:r>
          </w:p>
          <w:p w:rsidR="001F3FA8" w:rsidRPr="001F3FA8" w:rsidRDefault="001F3FA8" w:rsidP="00326457">
            <w:pPr>
              <w:rPr>
                <w:i/>
                <w:szCs w:val="24"/>
              </w:rPr>
            </w:pPr>
          </w:p>
        </w:tc>
      </w:tr>
      <w:tr w:rsidR="001F3FA8" w:rsidRPr="001F3FA8" w:rsidTr="00326457">
        <w:trPr>
          <w:trHeight w:val="20"/>
        </w:trPr>
        <w:tc>
          <w:tcPr>
            <w:tcW w:w="4621" w:type="dxa"/>
            <w:shd w:val="clear" w:color="auto" w:fill="auto"/>
          </w:tcPr>
          <w:p w:rsidR="001F3FA8" w:rsidRPr="001F3FA8" w:rsidRDefault="001F3FA8" w:rsidP="00326457">
            <w:pPr>
              <w:rPr>
                <w:szCs w:val="24"/>
              </w:rPr>
            </w:pPr>
            <w:r w:rsidRPr="001F3FA8">
              <w:rPr>
                <w:szCs w:val="24"/>
              </w:rPr>
              <w:t>If we do not develop an approach that is coherent across the ICS, single CCG, ICPs and Primary Care Networks then this could become just an administrative change that will not help us to address the underlying issues of financial and clinical sustainability resulting in intervention by regulators.</w:t>
            </w:r>
          </w:p>
        </w:tc>
        <w:tc>
          <w:tcPr>
            <w:tcW w:w="4621" w:type="dxa"/>
            <w:shd w:val="clear" w:color="auto" w:fill="auto"/>
          </w:tcPr>
          <w:p w:rsidR="001F3FA8" w:rsidRPr="001F3FA8" w:rsidRDefault="001F3FA8" w:rsidP="00326457">
            <w:pPr>
              <w:pStyle w:val="Default"/>
              <w:rPr>
                <w:color w:val="auto"/>
              </w:rPr>
            </w:pPr>
            <w:r w:rsidRPr="001F3FA8">
              <w:rPr>
                <w:color w:val="auto"/>
              </w:rPr>
              <w:t xml:space="preserve">We have measures in place; however, we need to do more to meet national standards. </w:t>
            </w:r>
          </w:p>
          <w:p w:rsidR="001F3FA8" w:rsidRPr="001F3FA8" w:rsidRDefault="001F3FA8" w:rsidP="00326457">
            <w:pPr>
              <w:pStyle w:val="Default"/>
              <w:rPr>
                <w:color w:val="auto"/>
              </w:rPr>
            </w:pPr>
          </w:p>
          <w:p w:rsidR="001F3FA8" w:rsidRPr="001F3FA8" w:rsidRDefault="001F3FA8" w:rsidP="00326457">
            <w:pPr>
              <w:pStyle w:val="Default"/>
              <w:rPr>
                <w:color w:val="auto"/>
              </w:rPr>
            </w:pPr>
            <w:r w:rsidRPr="001F3FA8">
              <w:rPr>
                <w:color w:val="auto"/>
              </w:rPr>
              <w:t xml:space="preserve">By implementing improvements and evidencing success we can reduce the likelihood of regulator intervention. </w:t>
            </w:r>
          </w:p>
          <w:p w:rsidR="001F3FA8" w:rsidRPr="001F3FA8" w:rsidRDefault="001F3FA8" w:rsidP="00326457">
            <w:pPr>
              <w:rPr>
                <w:i/>
                <w:szCs w:val="24"/>
              </w:rPr>
            </w:pPr>
          </w:p>
        </w:tc>
      </w:tr>
      <w:tr w:rsidR="001F3FA8" w:rsidRPr="001F3FA8" w:rsidTr="00326457">
        <w:trPr>
          <w:trHeight w:val="20"/>
        </w:trPr>
        <w:tc>
          <w:tcPr>
            <w:tcW w:w="4621" w:type="dxa"/>
            <w:shd w:val="clear" w:color="auto" w:fill="auto"/>
          </w:tcPr>
          <w:p w:rsidR="001F3FA8" w:rsidRPr="001F3FA8" w:rsidRDefault="001F3FA8" w:rsidP="00326457">
            <w:pPr>
              <w:pStyle w:val="Default"/>
              <w:rPr>
                <w:color w:val="auto"/>
              </w:rPr>
            </w:pPr>
            <w:r w:rsidRPr="001F3FA8">
              <w:rPr>
                <w:color w:val="auto"/>
              </w:rPr>
              <w:t xml:space="preserve">If we do not merge into a single organisation with clearly articulated financial principles and flow, then we risk success to financial recovery and sustainability resulting in a lack of cohesive operations and delivery. </w:t>
            </w:r>
          </w:p>
          <w:p w:rsidR="001F3FA8" w:rsidRPr="001F3FA8" w:rsidRDefault="001F3FA8" w:rsidP="00326457">
            <w:pPr>
              <w:pStyle w:val="Default"/>
              <w:rPr>
                <w:color w:val="auto"/>
              </w:rPr>
            </w:pPr>
          </w:p>
          <w:p w:rsidR="001F3FA8" w:rsidRPr="001F3FA8" w:rsidRDefault="001F3FA8" w:rsidP="00326457">
            <w:pPr>
              <w:rPr>
                <w:szCs w:val="24"/>
              </w:rPr>
            </w:pPr>
          </w:p>
        </w:tc>
        <w:tc>
          <w:tcPr>
            <w:tcW w:w="4621" w:type="dxa"/>
            <w:shd w:val="clear" w:color="auto" w:fill="auto"/>
          </w:tcPr>
          <w:p w:rsidR="001F3FA8" w:rsidRPr="001F3FA8" w:rsidRDefault="001F3FA8" w:rsidP="00326457">
            <w:pPr>
              <w:pStyle w:val="Default"/>
              <w:rPr>
                <w:color w:val="auto"/>
              </w:rPr>
            </w:pPr>
            <w:r w:rsidRPr="001F3FA8">
              <w:rPr>
                <w:color w:val="auto"/>
              </w:rPr>
              <w:t xml:space="preserve">Until we have agreement from governing bodies to the merger and associated financial principles and flow, we cannot reduce the risk. </w:t>
            </w:r>
          </w:p>
          <w:p w:rsidR="001F3FA8" w:rsidRPr="001F3FA8" w:rsidRDefault="001F3FA8" w:rsidP="00326457">
            <w:pPr>
              <w:pStyle w:val="Default"/>
              <w:rPr>
                <w:color w:val="auto"/>
              </w:rPr>
            </w:pPr>
          </w:p>
          <w:p w:rsidR="001F3FA8" w:rsidRPr="001F3FA8" w:rsidRDefault="001F3FA8" w:rsidP="00326457">
            <w:pPr>
              <w:pStyle w:val="Default"/>
              <w:rPr>
                <w:color w:val="auto"/>
              </w:rPr>
            </w:pPr>
            <w:r w:rsidRPr="001F3FA8">
              <w:rPr>
                <w:color w:val="auto"/>
              </w:rPr>
              <w:t xml:space="preserve">With agreed principles we can implement, it is unlikely this risk will be of detriment to financial recovery. </w:t>
            </w:r>
          </w:p>
          <w:p w:rsidR="001F3FA8" w:rsidRPr="001F3FA8" w:rsidRDefault="001F3FA8" w:rsidP="00326457">
            <w:pPr>
              <w:rPr>
                <w:szCs w:val="24"/>
              </w:rPr>
            </w:pPr>
          </w:p>
        </w:tc>
      </w:tr>
    </w:tbl>
    <w:p w:rsidR="001F3FA8" w:rsidRPr="00DD4251" w:rsidRDefault="001F3FA8" w:rsidP="00DD4251">
      <w:pPr>
        <w:ind w:right="141"/>
        <w:rPr>
          <w:rFonts w:cs="Arial"/>
          <w:szCs w:val="24"/>
          <w:lang w:val="en-US" w:eastAsia="en-GB"/>
        </w:rPr>
      </w:pPr>
    </w:p>
    <w:p w:rsidR="00FD31A0" w:rsidRPr="00A50388" w:rsidRDefault="00A50388" w:rsidP="00FD31A0">
      <w:pPr>
        <w:pStyle w:val="Heading2"/>
        <w:keepNext/>
        <w:rPr>
          <w:color w:val="FF0000"/>
        </w:rPr>
      </w:pPr>
      <w:r w:rsidRPr="004A2543">
        <w:t>Equalities implications</w:t>
      </w:r>
      <w:r>
        <w:t xml:space="preserve"> </w:t>
      </w:r>
      <w:r w:rsidRPr="00333FAA">
        <w:t>/</w:t>
      </w:r>
      <w:r>
        <w:t xml:space="preserve"> </w:t>
      </w:r>
      <w:r w:rsidRPr="00333FAA">
        <w:t>Public Sector Equality Duty</w:t>
      </w:r>
    </w:p>
    <w:p w:rsidR="00FD31A0" w:rsidRDefault="00FD31A0" w:rsidP="00FD31A0">
      <w:pPr>
        <w:keepNext/>
      </w:pPr>
    </w:p>
    <w:p w:rsidR="00A50388" w:rsidRPr="00B54AFA" w:rsidRDefault="001F3FA8" w:rsidP="00A50388">
      <w:pPr>
        <w:tabs>
          <w:tab w:val="left" w:pos="7245"/>
        </w:tabs>
        <w:rPr>
          <w:i/>
          <w:color w:val="0000FF"/>
        </w:rPr>
      </w:pPr>
      <w:r w:rsidRPr="00716459">
        <w:t>The thorough</w:t>
      </w:r>
      <w:r>
        <w:t xml:space="preserve"> impact assessment is underway. T</w:t>
      </w:r>
      <w:r w:rsidRPr="00716459">
        <w:t>he detailed report will be made available when complete.</w:t>
      </w:r>
    </w:p>
    <w:p w:rsidR="00A50388" w:rsidRDefault="00A50388" w:rsidP="00C32DAE">
      <w:pPr>
        <w:ind w:right="141"/>
        <w:rPr>
          <w:rFonts w:cs="Arial"/>
          <w:szCs w:val="24"/>
          <w:lang w:val="en-US"/>
        </w:rPr>
      </w:pPr>
    </w:p>
    <w:p w:rsidR="00BF6C06" w:rsidRPr="00CD57D8" w:rsidRDefault="005874F0" w:rsidP="00BF6C06">
      <w:pPr>
        <w:pStyle w:val="Heading2"/>
      </w:pPr>
      <w:r>
        <w:t>Council</w:t>
      </w:r>
      <w:r w:rsidR="00D34145">
        <w:t xml:space="preserve"> </w:t>
      </w:r>
      <w:r w:rsidR="00BF6C06" w:rsidRPr="00CD57D8">
        <w:t>Priorities</w:t>
      </w:r>
    </w:p>
    <w:p w:rsidR="00A86515" w:rsidRDefault="00A86515" w:rsidP="00A86515">
      <w:pPr>
        <w:autoSpaceDE w:val="0"/>
        <w:autoSpaceDN w:val="0"/>
        <w:contextualSpacing/>
        <w:rPr>
          <w:rFonts w:cs="Arial"/>
          <w:szCs w:val="24"/>
          <w:lang w:val="en-US"/>
        </w:rPr>
      </w:pPr>
    </w:p>
    <w:p w:rsidR="00A50388" w:rsidRDefault="00A86515" w:rsidP="00A86515">
      <w:pPr>
        <w:autoSpaceDE w:val="0"/>
        <w:autoSpaceDN w:val="0"/>
        <w:contextualSpacing/>
      </w:pPr>
      <w:r>
        <w:lastRenderedPageBreak/>
        <w:t xml:space="preserve">One of the outcomes from the reform is to work towards equity of access to services across </w:t>
      </w:r>
      <w:proofErr w:type="gramStart"/>
      <w:r>
        <w:t>north west</w:t>
      </w:r>
      <w:proofErr w:type="gramEnd"/>
      <w:r>
        <w:t xml:space="preserve"> London.</w:t>
      </w:r>
    </w:p>
    <w:p w:rsidR="00A50388" w:rsidRPr="00F22C98" w:rsidRDefault="00A50388" w:rsidP="00A50388"/>
    <w:p w:rsidR="00C32DAE" w:rsidRPr="00612A64" w:rsidRDefault="00C32DAE" w:rsidP="00C32DAE">
      <w:pPr>
        <w:rPr>
          <w:rFonts w:ascii="Times New Roman" w:hAnsi="Times New Roman"/>
          <w:szCs w:val="24"/>
          <w:lang w:val="en-US"/>
        </w:rPr>
      </w:pPr>
      <w:r w:rsidRPr="00612A64">
        <w:rPr>
          <w:rFonts w:ascii="Times New Roman" w:hAnsi="Times New Roman"/>
          <w:szCs w:val="24"/>
          <w:lang w:val="en-US"/>
        </w:rPr>
        <w:t> </w:t>
      </w:r>
    </w:p>
    <w:p w:rsidR="002A2389" w:rsidRDefault="002A2389" w:rsidP="008D1750">
      <w:pPr>
        <w:pStyle w:val="Heading1"/>
        <w:keepNext/>
      </w:pPr>
      <w:r>
        <w:t>Section 3 - Statutory Officer Clearance</w:t>
      </w:r>
      <w:r w:rsidR="00BE1C78">
        <w:t xml:space="preserve"> </w:t>
      </w:r>
      <w:r w:rsidR="001417FD">
        <w:t>(Council and Joint Reports)</w:t>
      </w:r>
    </w:p>
    <w:p w:rsidR="002A2389" w:rsidRDefault="002A2389" w:rsidP="008D1750">
      <w:pPr>
        <w:keepNext/>
        <w:rPr>
          <w:rFonts w:cs="Arial"/>
        </w:rPr>
      </w:pPr>
    </w:p>
    <w:p w:rsidR="002A2389" w:rsidRDefault="004A54D1">
      <w:pPr>
        <w:rPr>
          <w:szCs w:val="24"/>
        </w:rPr>
      </w:pPr>
      <w:r>
        <w:rPr>
          <w:szCs w:val="24"/>
        </w:rPr>
        <w:t>Not applicable</w:t>
      </w:r>
    </w:p>
    <w:p w:rsidR="00A51FAE" w:rsidRDefault="00A51FAE">
      <w:pPr>
        <w:rPr>
          <w:szCs w:val="24"/>
        </w:rPr>
      </w:pPr>
    </w:p>
    <w:p w:rsidR="00A51FAE" w:rsidRDefault="00A51FAE">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A51FAE">
        <w:trPr>
          <w:trHeight w:val="965"/>
        </w:trPr>
        <w:tc>
          <w:tcPr>
            <w:tcW w:w="3025" w:type="pct"/>
            <w:tcBorders>
              <w:right w:val="nil"/>
            </w:tcBorders>
          </w:tcPr>
          <w:p w:rsidR="00A51FAE" w:rsidRDefault="00A51FAE" w:rsidP="004213D7">
            <w:pPr>
              <w:pStyle w:val="Infotext"/>
              <w:rPr>
                <w:rFonts w:ascii="Arial Black" w:hAnsi="Arial Black"/>
              </w:rPr>
            </w:pPr>
          </w:p>
          <w:p w:rsidR="00A51FAE" w:rsidRDefault="00A51FAE" w:rsidP="004213D7">
            <w:pPr>
              <w:pStyle w:val="Infotext"/>
              <w:rPr>
                <w:rFonts w:ascii="Arial Black" w:hAnsi="Arial Black"/>
              </w:rPr>
            </w:pPr>
            <w:r>
              <w:rPr>
                <w:rFonts w:ascii="Arial Black" w:hAnsi="Arial Black"/>
              </w:rPr>
              <w:t>Ward Councillors notified:</w:t>
            </w:r>
          </w:p>
          <w:p w:rsidR="00A51FAE" w:rsidRPr="00A50388" w:rsidRDefault="00A51FAE" w:rsidP="004213D7">
            <w:pPr>
              <w:pStyle w:val="Infotext"/>
              <w:rPr>
                <w:b/>
                <w:color w:val="FF0000"/>
              </w:rPr>
            </w:pPr>
            <w:bookmarkStart w:id="0" w:name="_GoBack"/>
            <w:bookmarkEnd w:id="0"/>
          </w:p>
        </w:tc>
        <w:tc>
          <w:tcPr>
            <w:tcW w:w="1975" w:type="pct"/>
            <w:tcBorders>
              <w:left w:val="nil"/>
            </w:tcBorders>
          </w:tcPr>
          <w:p w:rsidR="00A51FAE" w:rsidRDefault="00A51FAE" w:rsidP="004213D7">
            <w:pPr>
              <w:pStyle w:val="Infotext"/>
            </w:pPr>
          </w:p>
          <w:p w:rsidR="00A51FAE" w:rsidRPr="00A406F3" w:rsidRDefault="00A51FAE" w:rsidP="004213D7">
            <w:pPr>
              <w:pStyle w:val="Infotext"/>
              <w:spacing w:before="120"/>
              <w:rPr>
                <w:b/>
              </w:rPr>
            </w:pPr>
            <w:r w:rsidRPr="00A406F3">
              <w:rPr>
                <w:b/>
              </w:rPr>
              <w:t xml:space="preserve">NO </w:t>
            </w:r>
          </w:p>
          <w:p w:rsidR="00A51FAE" w:rsidRPr="003D78F6" w:rsidRDefault="00A51FAE" w:rsidP="004A54D1">
            <w:pPr>
              <w:pStyle w:val="Infotext"/>
              <w:rPr>
                <w:i/>
                <w:sz w:val="24"/>
                <w:szCs w:val="24"/>
              </w:rPr>
            </w:pPr>
          </w:p>
        </w:tc>
      </w:tr>
    </w:tbl>
    <w:p w:rsidR="00A51FAE" w:rsidRPr="00A51FAE" w:rsidRDefault="00A51FAE">
      <w:pPr>
        <w:rPr>
          <w:szCs w:val="24"/>
        </w:rPr>
      </w:pPr>
    </w:p>
    <w:p w:rsidR="00EE0325" w:rsidRPr="00A51FAE" w:rsidRDefault="00EE0325" w:rsidP="008D1750">
      <w:pPr>
        <w:pStyle w:val="Heading1"/>
        <w:keepNext/>
        <w:rPr>
          <w:rFonts w:ascii="Arial" w:hAnsi="Arial"/>
          <w:sz w:val="24"/>
          <w:szCs w:val="24"/>
        </w:rPr>
      </w:pPr>
    </w:p>
    <w:p w:rsidR="00A51FAE" w:rsidRPr="00A51FAE" w:rsidRDefault="00A51FAE" w:rsidP="00A51FAE">
      <w:pPr>
        <w:rPr>
          <w:szCs w:val="24"/>
        </w:rPr>
      </w:pPr>
    </w:p>
    <w:p w:rsidR="002A2389" w:rsidRDefault="002A2389" w:rsidP="008D1750">
      <w:pPr>
        <w:pStyle w:val="Heading1"/>
        <w:keepNext/>
      </w:pPr>
      <w:r>
        <w:t>Section 4 - Contact Details and Background Papers</w:t>
      </w:r>
    </w:p>
    <w:p w:rsidR="002A2389" w:rsidRDefault="002A2389" w:rsidP="008D1750">
      <w:pPr>
        <w:keepNext/>
        <w:rPr>
          <w:rFonts w:cs="Arial"/>
        </w:rPr>
      </w:pPr>
    </w:p>
    <w:p w:rsidR="002A2389" w:rsidRDefault="002A2389"/>
    <w:p w:rsidR="00D51906" w:rsidRDefault="002A2389">
      <w:pPr>
        <w:pStyle w:val="Infotext"/>
      </w:pPr>
      <w:r w:rsidRPr="00D914D2">
        <w:rPr>
          <w:b/>
        </w:rPr>
        <w:t>Contact:</w:t>
      </w:r>
      <w:r>
        <w:t xml:space="preserve">  </w:t>
      </w:r>
    </w:p>
    <w:p w:rsidR="00D51906" w:rsidRDefault="00D51906">
      <w:pPr>
        <w:pStyle w:val="Infotext"/>
      </w:pPr>
      <w:r>
        <w:t>Javina Sehgal, Managing Director, Harrow CCG</w:t>
      </w:r>
    </w:p>
    <w:p w:rsidR="002A2389" w:rsidRDefault="00A86515">
      <w:pPr>
        <w:pStyle w:val="Infotext"/>
      </w:pPr>
      <w:r w:rsidRPr="00D51906">
        <w:t xml:space="preserve">Mark Easton, </w:t>
      </w:r>
      <w:proofErr w:type="gramStart"/>
      <w:r w:rsidRPr="00D51906">
        <w:t>Accountable</w:t>
      </w:r>
      <w:proofErr w:type="gramEnd"/>
      <w:r w:rsidRPr="00D51906">
        <w:t xml:space="preserve"> Officer, NWL CCGs</w:t>
      </w:r>
    </w:p>
    <w:p w:rsidR="002A2389" w:rsidRDefault="002A2389"/>
    <w:p w:rsidR="002A2389" w:rsidRDefault="002A2389"/>
    <w:p w:rsidR="002A2389" w:rsidRDefault="002A2389" w:rsidP="00D51906">
      <w:pPr>
        <w:pStyle w:val="Infotext"/>
      </w:pPr>
      <w:r w:rsidRPr="00D914D2">
        <w:rPr>
          <w:b/>
        </w:rPr>
        <w:t>Background Papers</w:t>
      </w:r>
      <w:r>
        <w:t xml:space="preserve">:  </w:t>
      </w:r>
      <w:hyperlink r:id="rId9" w:history="1">
        <w:r w:rsidR="00A86515">
          <w:rPr>
            <w:rStyle w:val="Hyperlink"/>
          </w:rPr>
          <w:t>https://www.healthiernorthwestlondon.nhs.uk/bettercare/thevision/caseforchange</w:t>
        </w:r>
      </w:hyperlink>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D11" w:rsidRDefault="00382D11">
      <w:r>
        <w:separator/>
      </w:r>
    </w:p>
  </w:endnote>
  <w:endnote w:type="continuationSeparator" w:id="0">
    <w:p w:rsidR="00382D11" w:rsidRDefault="00382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D11" w:rsidRDefault="00382D11">
      <w:r>
        <w:separator/>
      </w:r>
    </w:p>
  </w:footnote>
  <w:footnote w:type="continuationSeparator" w:id="0">
    <w:p w:rsidR="00382D11" w:rsidRDefault="00382D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C97"/>
    <w:multiLevelType w:val="hybridMultilevel"/>
    <w:tmpl w:val="98080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A25E49"/>
    <w:multiLevelType w:val="hybridMultilevel"/>
    <w:tmpl w:val="D2721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A946E0"/>
    <w:multiLevelType w:val="hybridMultilevel"/>
    <w:tmpl w:val="9468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364BE1"/>
    <w:multiLevelType w:val="hybridMultilevel"/>
    <w:tmpl w:val="C45C7B8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D4001A1"/>
    <w:multiLevelType w:val="hybridMultilevel"/>
    <w:tmpl w:val="952069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2">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51E7FA0"/>
    <w:multiLevelType w:val="hybridMultilevel"/>
    <w:tmpl w:val="05C01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1314599"/>
    <w:multiLevelType w:val="hybridMultilevel"/>
    <w:tmpl w:val="93D6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6"/>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1"/>
  </w:num>
  <w:num w:numId="8">
    <w:abstractNumId w:val="4"/>
  </w:num>
  <w:num w:numId="9">
    <w:abstractNumId w:val="14"/>
  </w:num>
  <w:num w:numId="10">
    <w:abstractNumId w:val="19"/>
  </w:num>
  <w:num w:numId="11">
    <w:abstractNumId w:val="13"/>
  </w:num>
  <w:num w:numId="12">
    <w:abstractNumId w:val="3"/>
  </w:num>
  <w:num w:numId="13">
    <w:abstractNumId w:val="8"/>
  </w:num>
  <w:num w:numId="14">
    <w:abstractNumId w:val="1"/>
  </w:num>
  <w:num w:numId="15">
    <w:abstractNumId w:val="18"/>
  </w:num>
  <w:num w:numId="16">
    <w:abstractNumId w:val="5"/>
  </w:num>
  <w:num w:numId="17">
    <w:abstractNumId w:val="7"/>
  </w:num>
  <w:num w:numId="18">
    <w:abstractNumId w:val="15"/>
  </w:num>
  <w:num w:numId="19">
    <w:abstractNumId w:val="6"/>
  </w:num>
  <w:num w:numId="20">
    <w:abstractNumId w:val="1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03"/>
    <w:rsid w:val="000110EA"/>
    <w:rsid w:val="00057F10"/>
    <w:rsid w:val="00071EB4"/>
    <w:rsid w:val="00077298"/>
    <w:rsid w:val="00080819"/>
    <w:rsid w:val="000B6DBB"/>
    <w:rsid w:val="000D2BF2"/>
    <w:rsid w:val="000F65C0"/>
    <w:rsid w:val="00122491"/>
    <w:rsid w:val="001417FD"/>
    <w:rsid w:val="001939BA"/>
    <w:rsid w:val="001C5225"/>
    <w:rsid w:val="001E0219"/>
    <w:rsid w:val="001F341E"/>
    <w:rsid w:val="001F3FA8"/>
    <w:rsid w:val="00231A1D"/>
    <w:rsid w:val="00296F20"/>
    <w:rsid w:val="002A2389"/>
    <w:rsid w:val="002A74F8"/>
    <w:rsid w:val="002C08E2"/>
    <w:rsid w:val="002C1794"/>
    <w:rsid w:val="002D2B8C"/>
    <w:rsid w:val="002E77E3"/>
    <w:rsid w:val="003115B3"/>
    <w:rsid w:val="00382D11"/>
    <w:rsid w:val="003B6B15"/>
    <w:rsid w:val="003C0B16"/>
    <w:rsid w:val="004213D7"/>
    <w:rsid w:val="0042394B"/>
    <w:rsid w:val="00473B08"/>
    <w:rsid w:val="00474B5F"/>
    <w:rsid w:val="004A54D1"/>
    <w:rsid w:val="004B2C9D"/>
    <w:rsid w:val="004C2D29"/>
    <w:rsid w:val="004D5D86"/>
    <w:rsid w:val="004E667D"/>
    <w:rsid w:val="004E6AF9"/>
    <w:rsid w:val="00513FB9"/>
    <w:rsid w:val="005861B4"/>
    <w:rsid w:val="005874F0"/>
    <w:rsid w:val="005D4ADF"/>
    <w:rsid w:val="005E384D"/>
    <w:rsid w:val="005F2181"/>
    <w:rsid w:val="005F724B"/>
    <w:rsid w:val="0063072B"/>
    <w:rsid w:val="006465F6"/>
    <w:rsid w:val="00662891"/>
    <w:rsid w:val="00675FCB"/>
    <w:rsid w:val="006C3914"/>
    <w:rsid w:val="006D2C51"/>
    <w:rsid w:val="0074184E"/>
    <w:rsid w:val="00755F8D"/>
    <w:rsid w:val="00796503"/>
    <w:rsid w:val="007D56C8"/>
    <w:rsid w:val="007E7303"/>
    <w:rsid w:val="007F7B2F"/>
    <w:rsid w:val="00803162"/>
    <w:rsid w:val="008136B1"/>
    <w:rsid w:val="008D1750"/>
    <w:rsid w:val="008E4913"/>
    <w:rsid w:val="008F4594"/>
    <w:rsid w:val="00900464"/>
    <w:rsid w:val="0090100E"/>
    <w:rsid w:val="0093767E"/>
    <w:rsid w:val="00972A02"/>
    <w:rsid w:val="0099517C"/>
    <w:rsid w:val="009B2ECD"/>
    <w:rsid w:val="009B7914"/>
    <w:rsid w:val="00A50388"/>
    <w:rsid w:val="00A51FAE"/>
    <w:rsid w:val="00A566E7"/>
    <w:rsid w:val="00A613C1"/>
    <w:rsid w:val="00A76A21"/>
    <w:rsid w:val="00A86515"/>
    <w:rsid w:val="00A940D3"/>
    <w:rsid w:val="00A96FCA"/>
    <w:rsid w:val="00AA4BE8"/>
    <w:rsid w:val="00AC056B"/>
    <w:rsid w:val="00AC7BA9"/>
    <w:rsid w:val="00B0425E"/>
    <w:rsid w:val="00B92AA6"/>
    <w:rsid w:val="00B9498A"/>
    <w:rsid w:val="00BD684A"/>
    <w:rsid w:val="00BE1C78"/>
    <w:rsid w:val="00BF6C06"/>
    <w:rsid w:val="00C171C8"/>
    <w:rsid w:val="00C31C2E"/>
    <w:rsid w:val="00C32DAE"/>
    <w:rsid w:val="00C40E24"/>
    <w:rsid w:val="00C82CEC"/>
    <w:rsid w:val="00C96EF5"/>
    <w:rsid w:val="00D1109B"/>
    <w:rsid w:val="00D32B51"/>
    <w:rsid w:val="00D34145"/>
    <w:rsid w:val="00D34668"/>
    <w:rsid w:val="00D3740E"/>
    <w:rsid w:val="00D47F38"/>
    <w:rsid w:val="00D51906"/>
    <w:rsid w:val="00D82F57"/>
    <w:rsid w:val="00D841A5"/>
    <w:rsid w:val="00D914D2"/>
    <w:rsid w:val="00D95BC7"/>
    <w:rsid w:val="00DA25DB"/>
    <w:rsid w:val="00DA2AC4"/>
    <w:rsid w:val="00DB39E5"/>
    <w:rsid w:val="00DD4251"/>
    <w:rsid w:val="00DF48BB"/>
    <w:rsid w:val="00E02B50"/>
    <w:rsid w:val="00E03F11"/>
    <w:rsid w:val="00E06DC8"/>
    <w:rsid w:val="00E220B5"/>
    <w:rsid w:val="00EA6242"/>
    <w:rsid w:val="00EE0325"/>
    <w:rsid w:val="00F37C8A"/>
    <w:rsid w:val="00F4213B"/>
    <w:rsid w:val="00F54F7B"/>
    <w:rsid w:val="00F66DED"/>
    <w:rsid w:val="00F849ED"/>
    <w:rsid w:val="00F87B6D"/>
    <w:rsid w:val="00F92398"/>
    <w:rsid w:val="00FD31A0"/>
    <w:rsid w:val="00FF30F2"/>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D34145"/>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A50388"/>
    <w:pPr>
      <w:spacing w:after="160" w:line="240" w:lineRule="exact"/>
    </w:pPr>
    <w:rPr>
      <w:rFonts w:ascii="Verdana" w:hAnsi="Verdana"/>
      <w:sz w:val="20"/>
      <w:lang w:val="en-US"/>
    </w:rPr>
  </w:style>
  <w:style w:type="character" w:styleId="Hyperlink">
    <w:name w:val="Hyperlink"/>
    <w:rsid w:val="00A50388"/>
    <w:rPr>
      <w:color w:val="0000FF"/>
      <w:u w:val="single"/>
    </w:rPr>
  </w:style>
  <w:style w:type="paragraph" w:styleId="ListParagraph">
    <w:name w:val="List Paragraph"/>
    <w:basedOn w:val="Normal"/>
    <w:uiPriority w:val="34"/>
    <w:qFormat/>
    <w:rsid w:val="00A50388"/>
    <w:pPr>
      <w:ind w:left="720"/>
    </w:pPr>
  </w:style>
  <w:style w:type="paragraph" w:customStyle="1" w:styleId="Default">
    <w:name w:val="Default"/>
    <w:rsid w:val="00D47F38"/>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1F3F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rompt">
    <w:name w:val="Table prompt"/>
    <w:basedOn w:val="Normal"/>
    <w:link w:val="TablepromptChar"/>
    <w:qFormat/>
    <w:rsid w:val="001F3FA8"/>
    <w:pPr>
      <w:keepNext/>
      <w:spacing w:after="120"/>
    </w:pPr>
    <w:rPr>
      <w:rFonts w:eastAsiaTheme="minorHAnsi" w:cs="Arial"/>
      <w:b/>
      <w:sz w:val="22"/>
      <w:szCs w:val="22"/>
      <w:u w:color="000000"/>
    </w:rPr>
  </w:style>
  <w:style w:type="character" w:customStyle="1" w:styleId="TablepromptChar">
    <w:name w:val="Table prompt Char"/>
    <w:basedOn w:val="DefaultParagraphFont"/>
    <w:link w:val="Tableprompt"/>
    <w:rsid w:val="001F3FA8"/>
    <w:rPr>
      <w:rFonts w:ascii="Arial" w:eastAsiaTheme="minorHAnsi" w:hAnsi="Arial" w:cs="Arial"/>
      <w:b/>
      <w:sz w:val="22"/>
      <w:szCs w:val="22"/>
      <w:u w:color="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D34145"/>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A50388"/>
    <w:pPr>
      <w:spacing w:after="160" w:line="240" w:lineRule="exact"/>
    </w:pPr>
    <w:rPr>
      <w:rFonts w:ascii="Verdana" w:hAnsi="Verdana"/>
      <w:sz w:val="20"/>
      <w:lang w:val="en-US"/>
    </w:rPr>
  </w:style>
  <w:style w:type="character" w:styleId="Hyperlink">
    <w:name w:val="Hyperlink"/>
    <w:rsid w:val="00A50388"/>
    <w:rPr>
      <w:color w:val="0000FF"/>
      <w:u w:val="single"/>
    </w:rPr>
  </w:style>
  <w:style w:type="paragraph" w:styleId="ListParagraph">
    <w:name w:val="List Paragraph"/>
    <w:basedOn w:val="Normal"/>
    <w:uiPriority w:val="34"/>
    <w:qFormat/>
    <w:rsid w:val="00A50388"/>
    <w:pPr>
      <w:ind w:left="720"/>
    </w:pPr>
  </w:style>
  <w:style w:type="paragraph" w:customStyle="1" w:styleId="Default">
    <w:name w:val="Default"/>
    <w:rsid w:val="00D47F38"/>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1F3F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rompt">
    <w:name w:val="Table prompt"/>
    <w:basedOn w:val="Normal"/>
    <w:link w:val="TablepromptChar"/>
    <w:qFormat/>
    <w:rsid w:val="001F3FA8"/>
    <w:pPr>
      <w:keepNext/>
      <w:spacing w:after="120"/>
    </w:pPr>
    <w:rPr>
      <w:rFonts w:eastAsiaTheme="minorHAnsi" w:cs="Arial"/>
      <w:b/>
      <w:sz w:val="22"/>
      <w:szCs w:val="22"/>
      <w:u w:color="000000"/>
    </w:rPr>
  </w:style>
  <w:style w:type="character" w:customStyle="1" w:styleId="TablepromptChar">
    <w:name w:val="Table prompt Char"/>
    <w:basedOn w:val="DefaultParagraphFont"/>
    <w:link w:val="Tableprompt"/>
    <w:rsid w:val="001F3FA8"/>
    <w:rPr>
      <w:rFonts w:ascii="Arial" w:eastAsiaTheme="minorHAnsi" w:hAnsi="Arial" w:cs="Arial"/>
      <w:b/>
      <w:sz w:val="22"/>
      <w:szCs w:val="22"/>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ealthiernorthwestlondon.nhs.uk/bettercare/thevision/casefor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5208</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Miriam Wearing</cp:lastModifiedBy>
  <cp:revision>3</cp:revision>
  <cp:lastPrinted>2007-07-12T09:53:00Z</cp:lastPrinted>
  <dcterms:created xsi:type="dcterms:W3CDTF">2019-09-02T09:48:00Z</dcterms:created>
  <dcterms:modified xsi:type="dcterms:W3CDTF">2019-09-02T09:53:00Z</dcterms:modified>
</cp:coreProperties>
</file>